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517" w:rsidRDefault="009D7E00">
      <w:pPr>
        <w:spacing w:after="0" w:line="240" w:lineRule="auto"/>
        <w:jc w:val="right"/>
        <w:rPr>
          <w:rFonts w:ascii="Arial" w:hAnsi="Arial" w:cs="Arial"/>
          <w:color w:val="000000"/>
        </w:rPr>
      </w:pPr>
      <w:proofErr w:type="gramStart"/>
      <w:r>
        <w:rPr>
          <w:rFonts w:ascii="Arial" w:hAnsi="Arial" w:cs="Arial"/>
          <w:color w:val="000000"/>
        </w:rPr>
        <w:t>Date :</w:t>
      </w:r>
      <w:proofErr w:type="gramEnd"/>
      <w:r>
        <w:rPr>
          <w:rFonts w:ascii="Arial" w:hAnsi="Arial" w:cs="Arial"/>
          <w:color w:val="000000"/>
        </w:rPr>
        <w:t xml:space="preserve"> </w:t>
      </w:r>
      <w:r w:rsidR="005102FD">
        <w:rPr>
          <w:rFonts w:ascii="Arial" w:hAnsi="Arial" w:cs="Arial"/>
          <w:color w:val="000000"/>
        </w:rPr>
        <w:t>May</w:t>
      </w:r>
      <w:r>
        <w:rPr>
          <w:rFonts w:ascii="Arial" w:hAnsi="Arial" w:cs="Arial"/>
          <w:color w:val="000000"/>
        </w:rPr>
        <w:t xml:space="preserve"> </w:t>
      </w:r>
      <w:r w:rsidR="005102FD">
        <w:rPr>
          <w:rFonts w:ascii="Arial" w:hAnsi="Arial" w:cs="Arial"/>
          <w:color w:val="000000"/>
        </w:rPr>
        <w:t>08</w:t>
      </w:r>
      <w:r>
        <w:rPr>
          <w:rFonts w:ascii="Arial" w:hAnsi="Arial" w:cs="Arial"/>
          <w:color w:val="000000"/>
        </w:rPr>
        <w:t>, 202</w:t>
      </w:r>
      <w:r w:rsidR="005102FD">
        <w:rPr>
          <w:rFonts w:ascii="Arial" w:hAnsi="Arial" w:cs="Arial"/>
          <w:color w:val="000000"/>
        </w:rPr>
        <w:t>6</w:t>
      </w:r>
    </w:p>
    <w:p w:rsidR="00B41517" w:rsidRDefault="00B41517"/>
    <w:p w:rsidR="00B41517" w:rsidRPr="00A667CF" w:rsidRDefault="006209EF">
      <w:pPr>
        <w:rPr>
          <w:rFonts w:ascii="Arial Black" w:hAnsi="Arial Black"/>
          <w:b/>
          <w:sz w:val="28"/>
        </w:rPr>
      </w:pPr>
      <w:r w:rsidRPr="00A667CF">
        <w:rPr>
          <w:rFonts w:ascii="Arial Black" w:hAnsi="Arial Black"/>
          <w:b/>
          <w:sz w:val="28"/>
        </w:rPr>
        <w:t xml:space="preserve">Letter of </w:t>
      </w:r>
      <w:r w:rsidR="009D7E00" w:rsidRPr="00A667CF">
        <w:rPr>
          <w:rFonts w:ascii="Arial Black" w:hAnsi="Arial Black"/>
          <w:b/>
          <w:sz w:val="28"/>
        </w:rPr>
        <w:t>Confirmation</w:t>
      </w:r>
    </w:p>
    <w:p w:rsidR="00796FB3" w:rsidRDefault="00796FB3"/>
    <w:p w:rsidR="00F72EC2" w:rsidRDefault="00F72EC2">
      <w:r>
        <w:rPr>
          <w:rFonts w:hint="eastAsia"/>
        </w:rPr>
        <w:t>인체줄기세포 배양액</w:t>
      </w:r>
      <w:r w:rsidR="000E3438">
        <w:rPr>
          <w:rFonts w:hint="eastAsia"/>
        </w:rPr>
        <w:t>(</w:t>
      </w:r>
      <w:proofErr w:type="spellStart"/>
      <w:r w:rsidR="000E3438" w:rsidRPr="000E3438">
        <w:t>Resili</w:t>
      </w:r>
      <w:r w:rsidR="00B26E8D">
        <w:t>a</w:t>
      </w:r>
      <w:r w:rsidR="000E3438" w:rsidRPr="000E3438">
        <w:t>nce</w:t>
      </w:r>
      <w:proofErr w:type="spellEnd"/>
      <w:r w:rsidR="000E3438" w:rsidRPr="000E3438">
        <w:rPr>
          <w:rFonts w:eastAsiaTheme="minorHAnsi"/>
          <w:vertAlign w:val="superscript"/>
        </w:rPr>
        <w:t>®</w:t>
      </w:r>
      <w:r w:rsidR="000E3438" w:rsidRPr="000E3438">
        <w:t xml:space="preserve"> 1000</w:t>
      </w:r>
      <w:r w:rsidR="000E3438">
        <w:t>)</w:t>
      </w:r>
      <w:r>
        <w:rPr>
          <w:rFonts w:hint="eastAsia"/>
        </w:rPr>
        <w:t xml:space="preserve">은 </w:t>
      </w:r>
      <w:proofErr w:type="spellStart"/>
      <w:r>
        <w:rPr>
          <w:rFonts w:hint="eastAsia"/>
        </w:rPr>
        <w:t>화장품안전기준등에</w:t>
      </w:r>
      <w:proofErr w:type="spellEnd"/>
      <w:r>
        <w:rPr>
          <w:rFonts w:hint="eastAsia"/>
        </w:rPr>
        <w:t xml:space="preserve"> 관한 규정 별표3을 준수하여 공여자의 적격성 검사를 실시하고 적격성이 확인된 공여자의 조직을 채취하였습니다.</w:t>
      </w:r>
      <w:bookmarkStart w:id="0" w:name="_GoBack"/>
      <w:bookmarkEnd w:id="0"/>
    </w:p>
    <w:p w:rsidR="00F72EC2" w:rsidRDefault="00F72EC2">
      <w:r>
        <w:rPr>
          <w:rFonts w:hint="eastAsia"/>
        </w:rPr>
        <w:t xml:space="preserve">채취된 조직에서 줄기세포를 분리하고 청정도 </w:t>
      </w:r>
      <w:r>
        <w:t>Class 100(Grade A)</w:t>
      </w:r>
      <w:r w:rsidR="00B26E8D">
        <w:rPr>
          <w:rFonts w:hint="eastAsia"/>
        </w:rPr>
        <w:t>과</w:t>
      </w:r>
      <w:r>
        <w:rPr>
          <w:rFonts w:hint="eastAsia"/>
        </w:rPr>
        <w:t xml:space="preserve"> 무균환경에서 배양하고 충전하여 공정 중 미생물 오염과 교차오염을 최소화하였으며 인체줄기세포 배양액</w:t>
      </w:r>
      <w:r w:rsidR="00796644">
        <w:rPr>
          <w:rFonts w:hint="eastAsia"/>
        </w:rPr>
        <w:t>의</w:t>
      </w:r>
      <w:r>
        <w:rPr>
          <w:rFonts w:hint="eastAsia"/>
        </w:rPr>
        <w:t xml:space="preserve"> 제조 및 품질관리는 유럽화장품원료 </w:t>
      </w:r>
      <w:r>
        <w:t>GMP(</w:t>
      </w:r>
      <w:proofErr w:type="spellStart"/>
      <w:r>
        <w:rPr>
          <w:rFonts w:hint="eastAsia"/>
        </w:rPr>
        <w:t>E</w:t>
      </w:r>
      <w:r>
        <w:t>FfCI</w:t>
      </w:r>
      <w:proofErr w:type="spellEnd"/>
      <w:r>
        <w:t xml:space="preserve"> GMP)</w:t>
      </w:r>
      <w:r>
        <w:rPr>
          <w:rFonts w:hint="eastAsia"/>
        </w:rPr>
        <w:t>를 준수하였습니다.</w:t>
      </w:r>
      <w:r>
        <w:t xml:space="preserve"> </w:t>
      </w:r>
    </w:p>
    <w:p w:rsidR="00F72EC2" w:rsidRPr="00F72EC2" w:rsidRDefault="00F72EC2">
      <w:r>
        <w:rPr>
          <w:rFonts w:hint="eastAsia"/>
        </w:rPr>
        <w:t xml:space="preserve">제조한 인체줄기세포 배양액은 </w:t>
      </w:r>
      <w:r>
        <w:t>GLP</w:t>
      </w:r>
      <w:r>
        <w:rPr>
          <w:rFonts w:hint="eastAsia"/>
        </w:rPr>
        <w:t>기관에서 안전성시험을 완료하였으며,</w:t>
      </w:r>
      <w:r>
        <w:t xml:space="preserve"> </w:t>
      </w:r>
      <w:r w:rsidR="00E00A7A">
        <w:rPr>
          <w:rFonts w:hint="eastAsia"/>
        </w:rPr>
        <w:t>모든 시험에서 그 안전성이 확인되었습니다.</w:t>
      </w:r>
    </w:p>
    <w:tbl>
      <w:tblPr>
        <w:tblStyle w:val="a5"/>
        <w:tblW w:w="0" w:type="auto"/>
        <w:tblLook w:val="04A0" w:firstRow="1" w:lastRow="0" w:firstColumn="1" w:lastColumn="0" w:noHBand="0" w:noVBand="1"/>
      </w:tblPr>
      <w:tblGrid>
        <w:gridCol w:w="3539"/>
        <w:gridCol w:w="3119"/>
        <w:gridCol w:w="2176"/>
      </w:tblGrid>
      <w:tr w:rsidR="00B41517" w:rsidTr="00957DE7">
        <w:tc>
          <w:tcPr>
            <w:tcW w:w="3539" w:type="dxa"/>
            <w:tcBorders>
              <w:left w:val="nil"/>
              <w:bottom w:val="double" w:sz="4" w:space="0" w:color="auto"/>
            </w:tcBorders>
            <w:shd w:val="clear" w:color="auto" w:fill="D9D9D9" w:themeFill="background1" w:themeFillShade="D9"/>
          </w:tcPr>
          <w:p w:rsidR="00B41517" w:rsidRDefault="009A56D3" w:rsidP="00957DE7">
            <w:pPr>
              <w:jc w:val="center"/>
            </w:pPr>
            <w:r>
              <w:rPr>
                <w:rFonts w:hint="eastAsia"/>
              </w:rPr>
              <w:t>T</w:t>
            </w:r>
            <w:r>
              <w:t>est items</w:t>
            </w:r>
          </w:p>
        </w:tc>
        <w:tc>
          <w:tcPr>
            <w:tcW w:w="3119" w:type="dxa"/>
            <w:tcBorders>
              <w:bottom w:val="double" w:sz="4" w:space="0" w:color="auto"/>
            </w:tcBorders>
            <w:shd w:val="clear" w:color="auto" w:fill="D9D9D9" w:themeFill="background1" w:themeFillShade="D9"/>
          </w:tcPr>
          <w:p w:rsidR="00B41517" w:rsidRDefault="009A56D3" w:rsidP="00957DE7">
            <w:pPr>
              <w:jc w:val="center"/>
            </w:pPr>
            <w:r>
              <w:rPr>
                <w:rFonts w:hint="eastAsia"/>
              </w:rPr>
              <w:t>T</w:t>
            </w:r>
            <w:r>
              <w:t>ested by</w:t>
            </w:r>
          </w:p>
        </w:tc>
        <w:tc>
          <w:tcPr>
            <w:tcW w:w="2176" w:type="dxa"/>
            <w:tcBorders>
              <w:bottom w:val="double" w:sz="4" w:space="0" w:color="auto"/>
              <w:right w:val="nil"/>
            </w:tcBorders>
            <w:shd w:val="clear" w:color="auto" w:fill="D9D9D9" w:themeFill="background1" w:themeFillShade="D9"/>
          </w:tcPr>
          <w:p w:rsidR="00B41517" w:rsidRDefault="009A56D3" w:rsidP="00957DE7">
            <w:pPr>
              <w:jc w:val="center"/>
            </w:pPr>
            <w:r>
              <w:t xml:space="preserve">Test </w:t>
            </w:r>
            <w:r w:rsidR="00957DE7">
              <w:t>date</w:t>
            </w:r>
          </w:p>
        </w:tc>
      </w:tr>
      <w:tr w:rsidR="00B41517" w:rsidTr="00957DE7">
        <w:tc>
          <w:tcPr>
            <w:tcW w:w="3539" w:type="dxa"/>
            <w:tcBorders>
              <w:top w:val="double" w:sz="4" w:space="0" w:color="auto"/>
              <w:left w:val="nil"/>
            </w:tcBorders>
          </w:tcPr>
          <w:p w:rsidR="00B41517" w:rsidRDefault="009A56D3" w:rsidP="00957DE7">
            <w:pPr>
              <w:jc w:val="center"/>
            </w:pPr>
            <w:r>
              <w:rPr>
                <w:rFonts w:hint="eastAsia"/>
              </w:rPr>
              <w:t>S</w:t>
            </w:r>
            <w:r>
              <w:t>ingle-dose toxicity</w:t>
            </w:r>
          </w:p>
        </w:tc>
        <w:tc>
          <w:tcPr>
            <w:tcW w:w="3119" w:type="dxa"/>
            <w:tcBorders>
              <w:top w:val="double" w:sz="4" w:space="0" w:color="auto"/>
            </w:tcBorders>
          </w:tcPr>
          <w:p w:rsidR="00B41517" w:rsidRDefault="00B41517"/>
        </w:tc>
        <w:tc>
          <w:tcPr>
            <w:tcW w:w="2176" w:type="dxa"/>
            <w:tcBorders>
              <w:top w:val="double" w:sz="4" w:space="0" w:color="auto"/>
              <w:right w:val="nil"/>
            </w:tcBorders>
          </w:tcPr>
          <w:p w:rsidR="00B41517" w:rsidRDefault="00B41517"/>
        </w:tc>
      </w:tr>
      <w:tr w:rsidR="009A56D3" w:rsidTr="00957DE7">
        <w:tc>
          <w:tcPr>
            <w:tcW w:w="3539" w:type="dxa"/>
            <w:tcBorders>
              <w:left w:val="nil"/>
            </w:tcBorders>
          </w:tcPr>
          <w:p w:rsidR="009A56D3" w:rsidRDefault="009A56D3" w:rsidP="00957DE7">
            <w:pPr>
              <w:jc w:val="center"/>
            </w:pPr>
            <w:r>
              <w:t>Repeated dose toxicity</w:t>
            </w:r>
          </w:p>
        </w:tc>
        <w:tc>
          <w:tcPr>
            <w:tcW w:w="3119" w:type="dxa"/>
          </w:tcPr>
          <w:p w:rsidR="009A56D3" w:rsidRDefault="009A56D3"/>
        </w:tc>
        <w:tc>
          <w:tcPr>
            <w:tcW w:w="2176" w:type="dxa"/>
            <w:tcBorders>
              <w:right w:val="nil"/>
            </w:tcBorders>
          </w:tcPr>
          <w:p w:rsidR="009A56D3" w:rsidRDefault="009A56D3"/>
        </w:tc>
      </w:tr>
      <w:tr w:rsidR="009A56D3" w:rsidTr="00957DE7">
        <w:tc>
          <w:tcPr>
            <w:tcW w:w="3539" w:type="dxa"/>
            <w:tcBorders>
              <w:left w:val="nil"/>
            </w:tcBorders>
          </w:tcPr>
          <w:p w:rsidR="009A56D3" w:rsidRDefault="009A56D3" w:rsidP="00957DE7">
            <w:pPr>
              <w:jc w:val="center"/>
            </w:pPr>
            <w:r>
              <w:rPr>
                <w:rFonts w:hint="eastAsia"/>
              </w:rPr>
              <w:t>P</w:t>
            </w:r>
            <w:r>
              <w:t>rimary skin irritation</w:t>
            </w:r>
          </w:p>
        </w:tc>
        <w:tc>
          <w:tcPr>
            <w:tcW w:w="3119" w:type="dxa"/>
          </w:tcPr>
          <w:p w:rsidR="009A56D3" w:rsidRDefault="009A56D3"/>
        </w:tc>
        <w:tc>
          <w:tcPr>
            <w:tcW w:w="2176" w:type="dxa"/>
            <w:tcBorders>
              <w:right w:val="nil"/>
            </w:tcBorders>
          </w:tcPr>
          <w:p w:rsidR="009A56D3" w:rsidRDefault="009A56D3"/>
        </w:tc>
      </w:tr>
      <w:tr w:rsidR="009A56D3" w:rsidTr="00957DE7">
        <w:tc>
          <w:tcPr>
            <w:tcW w:w="3539" w:type="dxa"/>
            <w:tcBorders>
              <w:left w:val="nil"/>
            </w:tcBorders>
          </w:tcPr>
          <w:p w:rsidR="009A56D3" w:rsidRDefault="009A56D3" w:rsidP="00957DE7">
            <w:pPr>
              <w:jc w:val="center"/>
            </w:pPr>
            <w:r>
              <w:rPr>
                <w:rFonts w:hint="eastAsia"/>
              </w:rPr>
              <w:t>E</w:t>
            </w:r>
            <w:r>
              <w:t>ye irritation</w:t>
            </w:r>
          </w:p>
        </w:tc>
        <w:tc>
          <w:tcPr>
            <w:tcW w:w="3119" w:type="dxa"/>
          </w:tcPr>
          <w:p w:rsidR="009A56D3" w:rsidRDefault="009A56D3"/>
        </w:tc>
        <w:tc>
          <w:tcPr>
            <w:tcW w:w="2176" w:type="dxa"/>
            <w:tcBorders>
              <w:right w:val="nil"/>
            </w:tcBorders>
          </w:tcPr>
          <w:p w:rsidR="009A56D3" w:rsidRDefault="009A56D3"/>
        </w:tc>
      </w:tr>
      <w:tr w:rsidR="009A56D3" w:rsidTr="00957DE7">
        <w:tc>
          <w:tcPr>
            <w:tcW w:w="3539" w:type="dxa"/>
            <w:tcBorders>
              <w:left w:val="nil"/>
            </w:tcBorders>
          </w:tcPr>
          <w:p w:rsidR="009A56D3" w:rsidRDefault="009A56D3" w:rsidP="00957DE7">
            <w:pPr>
              <w:jc w:val="center"/>
            </w:pPr>
            <w:r>
              <w:rPr>
                <w:rFonts w:hint="eastAsia"/>
              </w:rPr>
              <w:t>S</w:t>
            </w:r>
            <w:r>
              <w:t>kin sensitization</w:t>
            </w:r>
          </w:p>
        </w:tc>
        <w:tc>
          <w:tcPr>
            <w:tcW w:w="3119" w:type="dxa"/>
          </w:tcPr>
          <w:p w:rsidR="009A56D3" w:rsidRDefault="009A56D3"/>
        </w:tc>
        <w:tc>
          <w:tcPr>
            <w:tcW w:w="2176" w:type="dxa"/>
            <w:tcBorders>
              <w:right w:val="nil"/>
            </w:tcBorders>
          </w:tcPr>
          <w:p w:rsidR="009A56D3" w:rsidRDefault="009A56D3"/>
        </w:tc>
      </w:tr>
      <w:tr w:rsidR="009A56D3" w:rsidTr="00957DE7">
        <w:tc>
          <w:tcPr>
            <w:tcW w:w="3539" w:type="dxa"/>
            <w:tcBorders>
              <w:left w:val="nil"/>
            </w:tcBorders>
          </w:tcPr>
          <w:p w:rsidR="009A56D3" w:rsidRDefault="003930D3" w:rsidP="00957DE7">
            <w:pPr>
              <w:jc w:val="center"/>
            </w:pPr>
            <w:r>
              <w:rPr>
                <w:rFonts w:hint="eastAsia"/>
              </w:rPr>
              <w:t>P</w:t>
            </w:r>
            <w:r>
              <w:t>hotosensitivity</w:t>
            </w:r>
          </w:p>
        </w:tc>
        <w:tc>
          <w:tcPr>
            <w:tcW w:w="3119" w:type="dxa"/>
          </w:tcPr>
          <w:p w:rsidR="009A56D3" w:rsidRDefault="009A56D3"/>
        </w:tc>
        <w:tc>
          <w:tcPr>
            <w:tcW w:w="2176" w:type="dxa"/>
            <w:tcBorders>
              <w:right w:val="nil"/>
            </w:tcBorders>
          </w:tcPr>
          <w:p w:rsidR="009A56D3" w:rsidRDefault="009A56D3"/>
        </w:tc>
      </w:tr>
      <w:tr w:rsidR="003930D3" w:rsidTr="00957DE7">
        <w:tc>
          <w:tcPr>
            <w:tcW w:w="3539" w:type="dxa"/>
            <w:tcBorders>
              <w:left w:val="nil"/>
            </w:tcBorders>
          </w:tcPr>
          <w:p w:rsidR="003930D3" w:rsidRDefault="003930D3" w:rsidP="00957DE7">
            <w:pPr>
              <w:jc w:val="center"/>
            </w:pPr>
            <w:r>
              <w:rPr>
                <w:rFonts w:hint="eastAsia"/>
              </w:rPr>
              <w:t>P</w:t>
            </w:r>
            <w:r>
              <w:t>hototoxicity</w:t>
            </w:r>
          </w:p>
        </w:tc>
        <w:tc>
          <w:tcPr>
            <w:tcW w:w="3119" w:type="dxa"/>
          </w:tcPr>
          <w:p w:rsidR="003930D3" w:rsidRDefault="003930D3"/>
        </w:tc>
        <w:tc>
          <w:tcPr>
            <w:tcW w:w="2176" w:type="dxa"/>
            <w:tcBorders>
              <w:right w:val="nil"/>
            </w:tcBorders>
          </w:tcPr>
          <w:p w:rsidR="003930D3" w:rsidRDefault="003930D3"/>
        </w:tc>
      </w:tr>
      <w:tr w:rsidR="003930D3" w:rsidTr="00957DE7">
        <w:tc>
          <w:tcPr>
            <w:tcW w:w="3539" w:type="dxa"/>
            <w:tcBorders>
              <w:left w:val="nil"/>
            </w:tcBorders>
          </w:tcPr>
          <w:p w:rsidR="003930D3" w:rsidRDefault="003930D3" w:rsidP="00957DE7">
            <w:pPr>
              <w:jc w:val="center"/>
            </w:pPr>
            <w:r>
              <w:rPr>
                <w:rFonts w:hint="eastAsia"/>
              </w:rPr>
              <w:t>G</w:t>
            </w:r>
            <w:r>
              <w:t>enetic toxicity</w:t>
            </w:r>
          </w:p>
        </w:tc>
        <w:tc>
          <w:tcPr>
            <w:tcW w:w="3119" w:type="dxa"/>
          </w:tcPr>
          <w:p w:rsidR="003930D3" w:rsidRDefault="003930D3"/>
        </w:tc>
        <w:tc>
          <w:tcPr>
            <w:tcW w:w="2176" w:type="dxa"/>
            <w:tcBorders>
              <w:right w:val="nil"/>
            </w:tcBorders>
          </w:tcPr>
          <w:p w:rsidR="003930D3" w:rsidRDefault="003930D3"/>
        </w:tc>
      </w:tr>
      <w:tr w:rsidR="003930D3" w:rsidTr="00957DE7">
        <w:tc>
          <w:tcPr>
            <w:tcW w:w="3539" w:type="dxa"/>
            <w:tcBorders>
              <w:left w:val="nil"/>
            </w:tcBorders>
          </w:tcPr>
          <w:p w:rsidR="003930D3" w:rsidRDefault="003930D3" w:rsidP="00957DE7">
            <w:pPr>
              <w:jc w:val="center"/>
            </w:pPr>
            <w:r>
              <w:t>Skin patch test</w:t>
            </w:r>
          </w:p>
        </w:tc>
        <w:tc>
          <w:tcPr>
            <w:tcW w:w="3119" w:type="dxa"/>
          </w:tcPr>
          <w:p w:rsidR="003930D3" w:rsidRDefault="003930D3"/>
        </w:tc>
        <w:tc>
          <w:tcPr>
            <w:tcW w:w="2176" w:type="dxa"/>
            <w:tcBorders>
              <w:right w:val="nil"/>
            </w:tcBorders>
          </w:tcPr>
          <w:p w:rsidR="003930D3" w:rsidRDefault="003930D3"/>
        </w:tc>
      </w:tr>
    </w:tbl>
    <w:p w:rsidR="00B41517" w:rsidRDefault="00B41517"/>
    <w:p w:rsidR="00B41517" w:rsidRDefault="00A4154D">
      <w:r>
        <w:rPr>
          <w:rFonts w:hint="eastAsia"/>
        </w:rPr>
        <w:t>궁금한 사항이나 추가적인 정보요청은 연락주시</w:t>
      </w:r>
      <w:r w:rsidR="0097786E">
        <w:rPr>
          <w:rFonts w:hint="eastAsia"/>
        </w:rPr>
        <w:t>기 바랍니다.</w:t>
      </w:r>
      <w:r>
        <w:t xml:space="preserve"> </w:t>
      </w:r>
    </w:p>
    <w:p w:rsidR="0097786E" w:rsidRDefault="0097786E"/>
    <w:p w:rsidR="0097786E" w:rsidRDefault="0097786E"/>
    <w:p w:rsidR="00B41517" w:rsidRDefault="00DD2087">
      <w:r>
        <w:rPr>
          <w:rFonts w:hint="eastAsia"/>
        </w:rPr>
        <w:t>첨부</w:t>
      </w:r>
      <w:r w:rsidR="009D7E00">
        <w:t xml:space="preserve">: </w:t>
      </w:r>
      <w:proofErr w:type="spellStart"/>
      <w:r w:rsidR="003930D3">
        <w:t>EFfCI</w:t>
      </w:r>
      <w:proofErr w:type="spellEnd"/>
      <w:r w:rsidR="003930D3">
        <w:t xml:space="preserve"> GMP 2017</w:t>
      </w:r>
      <w:r>
        <w:t xml:space="preserve"> </w:t>
      </w:r>
      <w:r>
        <w:rPr>
          <w:rFonts w:hint="eastAsia"/>
        </w:rPr>
        <w:t>인증서</w:t>
      </w:r>
    </w:p>
    <w:p w:rsidR="00D504C1" w:rsidRDefault="00D504C1"/>
    <w:p w:rsidR="00DD2087" w:rsidRDefault="00DD2087"/>
    <w:p w:rsidR="00F203D3" w:rsidRDefault="00F203D3" w:rsidP="00D504C1">
      <w:pPr>
        <w:spacing w:after="0" w:line="240" w:lineRule="auto"/>
        <w:jc w:val="right"/>
        <w:rPr>
          <w:rFonts w:ascii="Arial" w:hAnsi="Arial" w:cs="Arial"/>
          <w:color w:val="000000"/>
        </w:rPr>
      </w:pPr>
    </w:p>
    <w:p w:rsidR="00D504C1" w:rsidRDefault="00D504C1" w:rsidP="00D504C1">
      <w:pPr>
        <w:spacing w:after="0" w:line="240" w:lineRule="auto"/>
        <w:jc w:val="right"/>
        <w:rPr>
          <w:rFonts w:ascii="Arial" w:hAnsi="Arial" w:cs="Arial"/>
          <w:color w:val="000000"/>
        </w:rPr>
      </w:pPr>
      <w:proofErr w:type="gramStart"/>
      <w:r>
        <w:rPr>
          <w:rFonts w:ascii="Arial" w:hAnsi="Arial" w:cs="Arial"/>
          <w:color w:val="000000"/>
        </w:rPr>
        <w:lastRenderedPageBreak/>
        <w:t>Date :</w:t>
      </w:r>
      <w:proofErr w:type="gramEnd"/>
      <w:r>
        <w:rPr>
          <w:rFonts w:ascii="Arial" w:hAnsi="Arial" w:cs="Arial"/>
          <w:color w:val="000000"/>
        </w:rPr>
        <w:t xml:space="preserve"> May 08, 2026</w:t>
      </w:r>
    </w:p>
    <w:p w:rsidR="00796FB3" w:rsidRPr="00A667CF" w:rsidRDefault="00796FB3" w:rsidP="00D504C1">
      <w:pPr>
        <w:jc w:val="left"/>
        <w:rPr>
          <w:rFonts w:ascii="Arial Black" w:hAnsi="Arial Black"/>
          <w:b/>
          <w:sz w:val="28"/>
        </w:rPr>
      </w:pPr>
      <w:r w:rsidRPr="00A667CF">
        <w:rPr>
          <w:rFonts w:ascii="Arial Black" w:hAnsi="Arial Black"/>
          <w:b/>
          <w:sz w:val="28"/>
        </w:rPr>
        <w:t>Letter of Confirmation</w:t>
      </w:r>
    </w:p>
    <w:p w:rsidR="00D509E0" w:rsidRDefault="00D509E0" w:rsidP="00796FB3"/>
    <w:p w:rsidR="00796FB3" w:rsidRDefault="00796FB3" w:rsidP="00796FB3">
      <w:r>
        <w:rPr>
          <w:rFonts w:hint="eastAsia"/>
        </w:rPr>
        <w:t>D</w:t>
      </w:r>
      <w:r>
        <w:t>ear All</w:t>
      </w:r>
    </w:p>
    <w:p w:rsidR="00D504C1" w:rsidRPr="00D504C1" w:rsidRDefault="00796FB3" w:rsidP="00796FB3">
      <w:r>
        <w:t xml:space="preserve">The human stem cell culture </w:t>
      </w:r>
      <w:proofErr w:type="gramStart"/>
      <w:r>
        <w:t>medium</w:t>
      </w:r>
      <w:r w:rsidR="000E3438">
        <w:rPr>
          <w:rFonts w:hint="eastAsia"/>
        </w:rPr>
        <w:t>(</w:t>
      </w:r>
      <w:proofErr w:type="gramEnd"/>
      <w:r w:rsidR="000E3438" w:rsidRPr="000E3438">
        <w:t>Resilience</w:t>
      </w:r>
      <w:r w:rsidR="000E3438" w:rsidRPr="000E3438">
        <w:rPr>
          <w:rFonts w:eastAsiaTheme="minorHAnsi"/>
          <w:vertAlign w:val="superscript"/>
        </w:rPr>
        <w:t>®</w:t>
      </w:r>
      <w:r w:rsidR="000E3438" w:rsidRPr="000E3438">
        <w:t xml:space="preserve"> 1000</w:t>
      </w:r>
      <w:r w:rsidR="000E3438">
        <w:t>)</w:t>
      </w:r>
      <w:r>
        <w:t xml:space="preserve"> was </w:t>
      </w:r>
      <w:r w:rsidR="003570B7">
        <w:t>manufactured</w:t>
      </w:r>
      <w:r>
        <w:t xml:space="preserve"> in compliance with </w:t>
      </w:r>
      <w:r w:rsidR="003570B7">
        <w:t>a</w:t>
      </w:r>
      <w:r>
        <w:t xml:space="preserve">nnex 3 of the Regulations on Cosmetic Safety Standards and Donor eligibility test was implemented and collection of  human tissues from donors whose eligibility was done. Stem cells were isolated from the collected tissues, cultured and filled under Class 100 (Grade A) cleanroom and aseptic conditions, thereby minimizing microbial contamination and cross-contamination during the manufacturing procedure. </w:t>
      </w:r>
      <w:proofErr w:type="spellStart"/>
      <w:r>
        <w:t>Futhermore</w:t>
      </w:r>
      <w:proofErr w:type="spellEnd"/>
      <w:r>
        <w:t xml:space="preserve"> manufacture and quality control of the human stem cell culture medium were carried out in compliance with the European Cosmetic Ingredients GMP (</w:t>
      </w:r>
      <w:proofErr w:type="spellStart"/>
      <w:r>
        <w:t>EFfCI</w:t>
      </w:r>
      <w:proofErr w:type="spellEnd"/>
      <w:r>
        <w:t xml:space="preserve"> GMP).</w:t>
      </w:r>
      <w:r w:rsidR="00D504C1">
        <w:t xml:space="preserve"> </w:t>
      </w:r>
      <w:r w:rsidR="00D504C1" w:rsidRPr="00D504C1">
        <w:t>The manufactured human stem cell culture medium has completed safety testing at a GLP institution, and its safety has been confirmed in all tests.</w:t>
      </w:r>
    </w:p>
    <w:tbl>
      <w:tblPr>
        <w:tblStyle w:val="a5"/>
        <w:tblW w:w="0" w:type="auto"/>
        <w:tblLook w:val="04A0" w:firstRow="1" w:lastRow="0" w:firstColumn="1" w:lastColumn="0" w:noHBand="0" w:noVBand="1"/>
      </w:tblPr>
      <w:tblGrid>
        <w:gridCol w:w="3539"/>
        <w:gridCol w:w="3119"/>
        <w:gridCol w:w="2176"/>
      </w:tblGrid>
      <w:tr w:rsidR="00796FB3" w:rsidTr="005E208B">
        <w:tc>
          <w:tcPr>
            <w:tcW w:w="3539" w:type="dxa"/>
            <w:tcBorders>
              <w:left w:val="nil"/>
              <w:bottom w:val="double" w:sz="4" w:space="0" w:color="auto"/>
            </w:tcBorders>
            <w:shd w:val="clear" w:color="auto" w:fill="D9D9D9" w:themeFill="background1" w:themeFillShade="D9"/>
          </w:tcPr>
          <w:p w:rsidR="00796FB3" w:rsidRDefault="00796FB3" w:rsidP="005E208B">
            <w:pPr>
              <w:jc w:val="center"/>
            </w:pPr>
            <w:r>
              <w:rPr>
                <w:rFonts w:hint="eastAsia"/>
              </w:rPr>
              <w:t>T</w:t>
            </w:r>
            <w:r>
              <w:t>est items</w:t>
            </w:r>
          </w:p>
        </w:tc>
        <w:tc>
          <w:tcPr>
            <w:tcW w:w="3119" w:type="dxa"/>
            <w:tcBorders>
              <w:bottom w:val="double" w:sz="4" w:space="0" w:color="auto"/>
            </w:tcBorders>
            <w:shd w:val="clear" w:color="auto" w:fill="D9D9D9" w:themeFill="background1" w:themeFillShade="D9"/>
          </w:tcPr>
          <w:p w:rsidR="00796FB3" w:rsidRDefault="00796FB3" w:rsidP="005E208B">
            <w:pPr>
              <w:jc w:val="center"/>
            </w:pPr>
            <w:r>
              <w:rPr>
                <w:rFonts w:hint="eastAsia"/>
              </w:rPr>
              <w:t>T</w:t>
            </w:r>
            <w:r>
              <w:t>ested by</w:t>
            </w:r>
          </w:p>
        </w:tc>
        <w:tc>
          <w:tcPr>
            <w:tcW w:w="2176" w:type="dxa"/>
            <w:tcBorders>
              <w:bottom w:val="double" w:sz="4" w:space="0" w:color="auto"/>
              <w:right w:val="nil"/>
            </w:tcBorders>
            <w:shd w:val="clear" w:color="auto" w:fill="D9D9D9" w:themeFill="background1" w:themeFillShade="D9"/>
          </w:tcPr>
          <w:p w:rsidR="00796FB3" w:rsidRDefault="00796FB3" w:rsidP="005E208B">
            <w:pPr>
              <w:jc w:val="center"/>
            </w:pPr>
            <w:r>
              <w:t>Test date</w:t>
            </w:r>
          </w:p>
        </w:tc>
      </w:tr>
      <w:tr w:rsidR="00796FB3" w:rsidTr="005E208B">
        <w:tc>
          <w:tcPr>
            <w:tcW w:w="3539" w:type="dxa"/>
            <w:tcBorders>
              <w:top w:val="double" w:sz="4" w:space="0" w:color="auto"/>
              <w:left w:val="nil"/>
            </w:tcBorders>
          </w:tcPr>
          <w:p w:rsidR="00796FB3" w:rsidRDefault="00796FB3" w:rsidP="005E208B">
            <w:pPr>
              <w:jc w:val="center"/>
            </w:pPr>
            <w:r>
              <w:rPr>
                <w:rFonts w:hint="eastAsia"/>
              </w:rPr>
              <w:t>S</w:t>
            </w:r>
            <w:r>
              <w:t>ingle-dose toxicity</w:t>
            </w:r>
          </w:p>
        </w:tc>
        <w:tc>
          <w:tcPr>
            <w:tcW w:w="3119" w:type="dxa"/>
            <w:tcBorders>
              <w:top w:val="double" w:sz="4" w:space="0" w:color="auto"/>
            </w:tcBorders>
          </w:tcPr>
          <w:p w:rsidR="00796FB3" w:rsidRDefault="00796FB3" w:rsidP="005E208B"/>
        </w:tc>
        <w:tc>
          <w:tcPr>
            <w:tcW w:w="2176" w:type="dxa"/>
            <w:tcBorders>
              <w:top w:val="double" w:sz="4" w:space="0" w:color="auto"/>
              <w:right w:val="nil"/>
            </w:tcBorders>
          </w:tcPr>
          <w:p w:rsidR="00796FB3" w:rsidRDefault="00796FB3" w:rsidP="005E208B"/>
        </w:tc>
      </w:tr>
      <w:tr w:rsidR="00796FB3" w:rsidTr="005E208B">
        <w:tc>
          <w:tcPr>
            <w:tcW w:w="3539" w:type="dxa"/>
            <w:tcBorders>
              <w:left w:val="nil"/>
            </w:tcBorders>
          </w:tcPr>
          <w:p w:rsidR="00796FB3" w:rsidRDefault="00796FB3" w:rsidP="005E208B">
            <w:pPr>
              <w:jc w:val="center"/>
            </w:pPr>
            <w:r>
              <w:t>Repeated dose toxicity</w:t>
            </w:r>
          </w:p>
        </w:tc>
        <w:tc>
          <w:tcPr>
            <w:tcW w:w="3119" w:type="dxa"/>
          </w:tcPr>
          <w:p w:rsidR="00796FB3" w:rsidRDefault="00796FB3" w:rsidP="005E208B"/>
        </w:tc>
        <w:tc>
          <w:tcPr>
            <w:tcW w:w="2176" w:type="dxa"/>
            <w:tcBorders>
              <w:right w:val="nil"/>
            </w:tcBorders>
          </w:tcPr>
          <w:p w:rsidR="00796FB3" w:rsidRDefault="00796FB3" w:rsidP="005E208B"/>
        </w:tc>
      </w:tr>
      <w:tr w:rsidR="00796FB3" w:rsidTr="005E208B">
        <w:tc>
          <w:tcPr>
            <w:tcW w:w="3539" w:type="dxa"/>
            <w:tcBorders>
              <w:left w:val="nil"/>
            </w:tcBorders>
          </w:tcPr>
          <w:p w:rsidR="00796FB3" w:rsidRDefault="00796FB3" w:rsidP="005E208B">
            <w:pPr>
              <w:jc w:val="center"/>
            </w:pPr>
            <w:r>
              <w:rPr>
                <w:rFonts w:hint="eastAsia"/>
              </w:rPr>
              <w:t>P</w:t>
            </w:r>
            <w:r>
              <w:t>rimary skin irritation</w:t>
            </w:r>
          </w:p>
        </w:tc>
        <w:tc>
          <w:tcPr>
            <w:tcW w:w="3119" w:type="dxa"/>
          </w:tcPr>
          <w:p w:rsidR="00796FB3" w:rsidRDefault="00796FB3" w:rsidP="005E208B"/>
        </w:tc>
        <w:tc>
          <w:tcPr>
            <w:tcW w:w="2176" w:type="dxa"/>
            <w:tcBorders>
              <w:right w:val="nil"/>
            </w:tcBorders>
          </w:tcPr>
          <w:p w:rsidR="00796FB3" w:rsidRDefault="00796FB3" w:rsidP="005E208B"/>
        </w:tc>
      </w:tr>
      <w:tr w:rsidR="00796FB3" w:rsidTr="005E208B">
        <w:tc>
          <w:tcPr>
            <w:tcW w:w="3539" w:type="dxa"/>
            <w:tcBorders>
              <w:left w:val="nil"/>
            </w:tcBorders>
          </w:tcPr>
          <w:p w:rsidR="00796FB3" w:rsidRDefault="00796FB3" w:rsidP="005E208B">
            <w:pPr>
              <w:jc w:val="center"/>
            </w:pPr>
            <w:r>
              <w:rPr>
                <w:rFonts w:hint="eastAsia"/>
              </w:rPr>
              <w:t>E</w:t>
            </w:r>
            <w:r>
              <w:t>ye irritation</w:t>
            </w:r>
          </w:p>
        </w:tc>
        <w:tc>
          <w:tcPr>
            <w:tcW w:w="3119" w:type="dxa"/>
          </w:tcPr>
          <w:p w:rsidR="00796FB3" w:rsidRDefault="00796FB3" w:rsidP="005E208B"/>
        </w:tc>
        <w:tc>
          <w:tcPr>
            <w:tcW w:w="2176" w:type="dxa"/>
            <w:tcBorders>
              <w:right w:val="nil"/>
            </w:tcBorders>
          </w:tcPr>
          <w:p w:rsidR="00796FB3" w:rsidRDefault="00796FB3" w:rsidP="005E208B"/>
        </w:tc>
      </w:tr>
      <w:tr w:rsidR="00796FB3" w:rsidTr="005E208B">
        <w:tc>
          <w:tcPr>
            <w:tcW w:w="3539" w:type="dxa"/>
            <w:tcBorders>
              <w:left w:val="nil"/>
            </w:tcBorders>
          </w:tcPr>
          <w:p w:rsidR="00796FB3" w:rsidRDefault="00796FB3" w:rsidP="005E208B">
            <w:pPr>
              <w:jc w:val="center"/>
            </w:pPr>
            <w:r>
              <w:rPr>
                <w:rFonts w:hint="eastAsia"/>
              </w:rPr>
              <w:t>S</w:t>
            </w:r>
            <w:r>
              <w:t>kin sensitization</w:t>
            </w:r>
          </w:p>
        </w:tc>
        <w:tc>
          <w:tcPr>
            <w:tcW w:w="3119" w:type="dxa"/>
          </w:tcPr>
          <w:p w:rsidR="00796FB3" w:rsidRDefault="00796FB3" w:rsidP="005E208B"/>
        </w:tc>
        <w:tc>
          <w:tcPr>
            <w:tcW w:w="2176" w:type="dxa"/>
            <w:tcBorders>
              <w:right w:val="nil"/>
            </w:tcBorders>
          </w:tcPr>
          <w:p w:rsidR="00796FB3" w:rsidRDefault="00796FB3" w:rsidP="005E208B"/>
        </w:tc>
      </w:tr>
      <w:tr w:rsidR="00796FB3" w:rsidTr="005E208B">
        <w:tc>
          <w:tcPr>
            <w:tcW w:w="3539" w:type="dxa"/>
            <w:tcBorders>
              <w:left w:val="nil"/>
            </w:tcBorders>
          </w:tcPr>
          <w:p w:rsidR="00796FB3" w:rsidRDefault="00796FB3" w:rsidP="005E208B">
            <w:pPr>
              <w:jc w:val="center"/>
            </w:pPr>
            <w:r>
              <w:rPr>
                <w:rFonts w:hint="eastAsia"/>
              </w:rPr>
              <w:t>P</w:t>
            </w:r>
            <w:r>
              <w:t>hotosensitivity</w:t>
            </w:r>
          </w:p>
        </w:tc>
        <w:tc>
          <w:tcPr>
            <w:tcW w:w="3119" w:type="dxa"/>
          </w:tcPr>
          <w:p w:rsidR="00796FB3" w:rsidRDefault="00796FB3" w:rsidP="005E208B"/>
        </w:tc>
        <w:tc>
          <w:tcPr>
            <w:tcW w:w="2176" w:type="dxa"/>
            <w:tcBorders>
              <w:right w:val="nil"/>
            </w:tcBorders>
          </w:tcPr>
          <w:p w:rsidR="00796FB3" w:rsidRDefault="00796FB3" w:rsidP="005E208B"/>
        </w:tc>
      </w:tr>
      <w:tr w:rsidR="00796FB3" w:rsidTr="005E208B">
        <w:tc>
          <w:tcPr>
            <w:tcW w:w="3539" w:type="dxa"/>
            <w:tcBorders>
              <w:left w:val="nil"/>
            </w:tcBorders>
          </w:tcPr>
          <w:p w:rsidR="00796FB3" w:rsidRDefault="00796FB3" w:rsidP="005E208B">
            <w:pPr>
              <w:jc w:val="center"/>
            </w:pPr>
            <w:r>
              <w:rPr>
                <w:rFonts w:hint="eastAsia"/>
              </w:rPr>
              <w:t>P</w:t>
            </w:r>
            <w:r>
              <w:t>hototoxicity</w:t>
            </w:r>
          </w:p>
        </w:tc>
        <w:tc>
          <w:tcPr>
            <w:tcW w:w="3119" w:type="dxa"/>
          </w:tcPr>
          <w:p w:rsidR="00796FB3" w:rsidRDefault="00796FB3" w:rsidP="005E208B"/>
        </w:tc>
        <w:tc>
          <w:tcPr>
            <w:tcW w:w="2176" w:type="dxa"/>
            <w:tcBorders>
              <w:right w:val="nil"/>
            </w:tcBorders>
          </w:tcPr>
          <w:p w:rsidR="00796FB3" w:rsidRDefault="00796FB3" w:rsidP="005E208B"/>
        </w:tc>
      </w:tr>
      <w:tr w:rsidR="00796FB3" w:rsidTr="005E208B">
        <w:tc>
          <w:tcPr>
            <w:tcW w:w="3539" w:type="dxa"/>
            <w:tcBorders>
              <w:left w:val="nil"/>
            </w:tcBorders>
          </w:tcPr>
          <w:p w:rsidR="00796FB3" w:rsidRDefault="00796FB3" w:rsidP="005E208B">
            <w:pPr>
              <w:jc w:val="center"/>
            </w:pPr>
            <w:r>
              <w:rPr>
                <w:rFonts w:hint="eastAsia"/>
              </w:rPr>
              <w:t>G</w:t>
            </w:r>
            <w:r>
              <w:t>enetic toxicity</w:t>
            </w:r>
          </w:p>
        </w:tc>
        <w:tc>
          <w:tcPr>
            <w:tcW w:w="3119" w:type="dxa"/>
          </w:tcPr>
          <w:p w:rsidR="00796FB3" w:rsidRDefault="00796FB3" w:rsidP="005E208B"/>
        </w:tc>
        <w:tc>
          <w:tcPr>
            <w:tcW w:w="2176" w:type="dxa"/>
            <w:tcBorders>
              <w:right w:val="nil"/>
            </w:tcBorders>
          </w:tcPr>
          <w:p w:rsidR="00796FB3" w:rsidRDefault="00796FB3" w:rsidP="005E208B"/>
        </w:tc>
      </w:tr>
      <w:tr w:rsidR="00796FB3" w:rsidTr="005E208B">
        <w:tc>
          <w:tcPr>
            <w:tcW w:w="3539" w:type="dxa"/>
            <w:tcBorders>
              <w:left w:val="nil"/>
            </w:tcBorders>
          </w:tcPr>
          <w:p w:rsidR="00796FB3" w:rsidRDefault="00796FB3" w:rsidP="005E208B">
            <w:pPr>
              <w:jc w:val="center"/>
            </w:pPr>
            <w:r>
              <w:t>Skin patch test</w:t>
            </w:r>
          </w:p>
        </w:tc>
        <w:tc>
          <w:tcPr>
            <w:tcW w:w="3119" w:type="dxa"/>
          </w:tcPr>
          <w:p w:rsidR="00796FB3" w:rsidRDefault="00796FB3" w:rsidP="005E208B"/>
        </w:tc>
        <w:tc>
          <w:tcPr>
            <w:tcW w:w="2176" w:type="dxa"/>
            <w:tcBorders>
              <w:right w:val="nil"/>
            </w:tcBorders>
          </w:tcPr>
          <w:p w:rsidR="00796FB3" w:rsidRDefault="00796FB3" w:rsidP="005E208B"/>
        </w:tc>
      </w:tr>
    </w:tbl>
    <w:p w:rsidR="00796FB3" w:rsidRDefault="00796FB3" w:rsidP="00796FB3"/>
    <w:p w:rsidR="00796FB3" w:rsidRDefault="00796FB3" w:rsidP="00796FB3">
      <w:r>
        <w:t>If need more information, please contact us via e-mail or phone.</w:t>
      </w:r>
    </w:p>
    <w:p w:rsidR="00796FB3" w:rsidRDefault="00796FB3" w:rsidP="00796FB3">
      <w:r>
        <w:rPr>
          <w:rFonts w:hint="eastAsia"/>
        </w:rPr>
        <w:t>B</w:t>
      </w:r>
      <w:r>
        <w:t>est regards,</w:t>
      </w:r>
    </w:p>
    <w:p w:rsidR="00D509E0" w:rsidRDefault="00D509E0" w:rsidP="00796FB3"/>
    <w:p w:rsidR="00796FB3" w:rsidRDefault="00796FB3" w:rsidP="00796FB3">
      <w:r>
        <w:rPr>
          <w:noProof/>
        </w:rPr>
        <mc:AlternateContent>
          <mc:Choice Requires="wps">
            <w:drawing>
              <wp:anchor distT="0" distB="0" distL="114300" distR="114300" simplePos="0" relativeHeight="251661312" behindDoc="0" locked="0" layoutInCell="1" hidden="0" allowOverlap="1" wp14:anchorId="302E82FF" wp14:editId="03643F2A">
                <wp:simplePos x="0" y="0"/>
                <wp:positionH relativeFrom="column">
                  <wp:posOffset>0</wp:posOffset>
                </wp:positionH>
                <wp:positionV relativeFrom="paragraph">
                  <wp:posOffset>0</wp:posOffset>
                </wp:positionV>
                <wp:extent cx="2187616" cy="0"/>
                <wp:effectExtent l="3175" t="3175" r="3175" b="3175"/>
                <wp:wrapNone/>
                <wp:docPr id="1" name="shape1025"/>
                <wp:cNvGraphicFramePr/>
                <a:graphic xmlns:a="http://schemas.openxmlformats.org/drawingml/2006/main">
                  <a:graphicData uri="http://schemas.microsoft.com/office/word/2010/wordprocessingShape">
                    <wps:wsp>
                      <wps:cNvCnPr/>
                      <wps:spPr>
                        <a:xfrm>
                          <a:off x="0" y="0"/>
                          <a:ext cx="2187616" cy="0"/>
                        </a:xfrm>
                        <a:prstGeom prst="line">
                          <a:avLst/>
                        </a:prstGeom>
                      </wps:spPr>
                      <wps:style>
                        <a:lnRef idx="1">
                          <a:schemeClr val="accent1"/>
                        </a:lnRef>
                        <a:fillRef idx="0">
                          <a:schemeClr val="accent1"/>
                        </a:fillRef>
                        <a:effectRef idx="0">
                          <a:schemeClr val="accent1"/>
                        </a:effectRef>
                        <a:fontRef idx="minor">
                          <a:schemeClr val="dk1"/>
                        </a:fontRef>
                      </wps:style>
                      <wps:bodyPr/>
                    </wps:wsp>
                  </a:graphicData>
                </a:graphic>
              </wp:anchor>
            </w:drawing>
          </mc:Choice>
          <mc:Fallback>
            <w:pict>
              <v:line w14:anchorId="63DF8B42" id="shape102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0" to="17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4AsQEAALgDAAAOAAAAZHJzL2Uyb0RvYy54bWysU01v2zAMvQ/YfxB0b2wHaFoYcXpo0V6G&#10;Nei2H6DKVCxUX6C0OPn3pZTELboBRYteaFHiI/ke6eXVzhq2BYzau443s5ozcNL32m06/uf37dkl&#10;ZzEJ1wvjHXR8D5Ffrb5/W46hhbkfvOkBGSVxsR1Dx4eUQltVUQ5gRZz5AI4elUcrErm4qXoUI2W3&#10;pprX9aIaPfYBvYQY6fbm8MhXJb9SINO9UhESMx2n3lKxWOxjttVqKdoNijBoeWxDfKILK7SjolOq&#10;G5EE+4v6n1RWS/TRqzST3lZeKS2hcCA2Tf2Gza9BBChcSJwYJpni16WVP7drZLqn2XHmhKURxVy1&#10;qefnWZwxxJZirt0aj14Ma8xMdwpt/hIHtiuC7idBYZeYpMt5c3mxaBacydNb9QIMGNMdeMvyoeNG&#10;u8xVtGL7IyYqRqGnEHJyI4fS5ZT2BnKwcQ+gqH8q1hR02Ry4Nsi2gmYupASXmkyF8pXoDFPamAlY&#10;vw88xmcolK36CHhClMrepQlstfP4v+r906lldYg/KXDgnSV49P2+DKVIQ+tRGB5XOe/fa7/AX364&#10;1TMAAAD//wMAUEsDBBQABgAIAAAAIQBJGqWw2wAAAAIBAAAPAAAAZHJzL2Rvd25yZXYueG1sTI9B&#10;a8JAEIXvhf6HZQq91Y3WFkmzERFKrVCkKtjjmB2TtNnZsLua+O+79lIvDx5veO+bbNqbRpzI+dqy&#10;guEgAUFcWF1zqWC7eX2YgPABWWNjmRScycM0v73JMNW24086rUMpYgn7FBVUIbSplL6oyKAf2JY4&#10;ZgfrDIZoXSm1wy6Wm0aOkuRZGqw5LlTY0ryi4md9NAo+3GIxny3P37z6Mt1utNyt3vs3pe7v+tkL&#10;iEB9+D+GC35Ehzwy7e2RtReNgvhI+NOYPY7HTyD2FyvzTF6j578AAAD//wMAUEsBAi0AFAAGAAgA&#10;AAAhALaDOJL+AAAA4QEAABMAAAAAAAAAAAAAAAAAAAAAAFtDb250ZW50X1R5cGVzXS54bWxQSwEC&#10;LQAUAAYACAAAACEAOP0h/9YAAACUAQAACwAAAAAAAAAAAAAAAAAvAQAAX3JlbHMvLnJlbHNQSwEC&#10;LQAUAAYACAAAACEARE3OALEBAAC4AwAADgAAAAAAAAAAAAAAAAAuAgAAZHJzL2Uyb0RvYy54bWxQ&#10;SwECLQAUAAYACAAAACEASRqlsNsAAAACAQAADwAAAAAAAAAAAAAAAAALBAAAZHJzL2Rvd25yZXYu&#10;eG1sUEsFBgAAAAAEAAQA8wAAABMFAAAAAA==&#10;" strokecolor="#4472c4 [3204]" strokeweight=".5pt">
                <v:stroke joinstyle="miter"/>
              </v:line>
            </w:pict>
          </mc:Fallback>
        </mc:AlternateContent>
      </w:r>
    </w:p>
    <w:p w:rsidR="00796FB3" w:rsidRPr="00796FB3" w:rsidRDefault="00796FB3">
      <w:proofErr w:type="gramStart"/>
      <w:r>
        <w:rPr>
          <w:rFonts w:hint="eastAsia"/>
        </w:rPr>
        <w:t>A</w:t>
      </w:r>
      <w:r>
        <w:t>ttachment :</w:t>
      </w:r>
      <w:proofErr w:type="gramEnd"/>
      <w:r>
        <w:t xml:space="preserve"> Certificate of </w:t>
      </w:r>
      <w:proofErr w:type="spellStart"/>
      <w:r>
        <w:t>EFfCI</w:t>
      </w:r>
      <w:proofErr w:type="spellEnd"/>
      <w:r>
        <w:t xml:space="preserve"> GMP 2017</w:t>
      </w:r>
    </w:p>
    <w:sectPr w:rsidR="00796FB3" w:rsidRPr="00796FB3">
      <w:headerReference w:type="default" r:id="rId6"/>
      <w:pgSz w:w="11906" w:h="16838"/>
      <w:pgMar w:top="2835" w:right="1531" w:bottom="1440" w:left="153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E6C" w:rsidRDefault="00B05E6C">
      <w:pPr>
        <w:spacing w:after="0" w:line="240" w:lineRule="auto"/>
      </w:pPr>
      <w:r>
        <w:separator/>
      </w:r>
    </w:p>
  </w:endnote>
  <w:endnote w:type="continuationSeparator" w:id="0">
    <w:p w:rsidR="00B05E6C" w:rsidRDefault="00B05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E6C" w:rsidRDefault="00B05E6C">
      <w:pPr>
        <w:spacing w:after="0" w:line="240" w:lineRule="auto"/>
      </w:pPr>
      <w:r>
        <w:separator/>
      </w:r>
    </w:p>
  </w:footnote>
  <w:footnote w:type="continuationSeparator" w:id="0">
    <w:p w:rsidR="00B05E6C" w:rsidRDefault="00B05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517" w:rsidRDefault="005102FD">
    <w:pPr>
      <w:spacing w:after="0" w:line="240" w:lineRule="auto"/>
      <w:rPr>
        <w:rFonts w:ascii="Arial" w:hAnsi="Arial" w:cs="Arial"/>
        <w:color w:val="A6A6A6"/>
      </w:rPr>
    </w:pPr>
    <w:proofErr w:type="spellStart"/>
    <w:r>
      <w:rPr>
        <w:rFonts w:ascii="Arial" w:hAnsi="Arial" w:cs="Arial"/>
        <w:color w:val="A6A6A6"/>
      </w:rPr>
      <w:t>Mirae</w:t>
    </w:r>
    <w:proofErr w:type="spellEnd"/>
    <w:r>
      <w:rPr>
        <w:rFonts w:ascii="Arial" w:hAnsi="Arial" w:cs="Arial"/>
        <w:color w:val="A6A6A6"/>
      </w:rPr>
      <w:t xml:space="preserve"> </w:t>
    </w:r>
    <w:proofErr w:type="spellStart"/>
    <w:r>
      <w:rPr>
        <w:rFonts w:ascii="Arial" w:hAnsi="Arial" w:cs="Arial"/>
        <w:color w:val="A6A6A6"/>
      </w:rPr>
      <w:t>biommetic</w:t>
    </w:r>
    <w:proofErr w:type="spellEnd"/>
  </w:p>
  <w:p w:rsidR="005102FD" w:rsidRPr="005102FD" w:rsidRDefault="005102FD" w:rsidP="005102FD">
    <w:pPr>
      <w:spacing w:after="0" w:line="240" w:lineRule="auto"/>
      <w:rPr>
        <w:rFonts w:ascii="Arial" w:hAnsi="Arial" w:cs="Arial"/>
        <w:color w:val="A6A6A6"/>
        <w:sz w:val="18"/>
      </w:rPr>
    </w:pPr>
    <w:r w:rsidRPr="005102FD">
      <w:rPr>
        <w:rFonts w:ascii="Arial" w:hAnsi="Arial" w:cs="Arial"/>
        <w:color w:val="A6A6A6"/>
        <w:sz w:val="18"/>
      </w:rPr>
      <w:t xml:space="preserve">Factory: #1101~1103, 25, </w:t>
    </w:r>
    <w:proofErr w:type="spellStart"/>
    <w:r w:rsidRPr="005102FD">
      <w:rPr>
        <w:rFonts w:ascii="Arial" w:hAnsi="Arial" w:cs="Arial"/>
        <w:color w:val="A6A6A6"/>
        <w:sz w:val="18"/>
      </w:rPr>
      <w:t>Gasan</w:t>
    </w:r>
    <w:proofErr w:type="spellEnd"/>
    <w:r w:rsidRPr="005102FD">
      <w:rPr>
        <w:rFonts w:ascii="Arial" w:hAnsi="Arial" w:cs="Arial"/>
        <w:color w:val="A6A6A6"/>
        <w:sz w:val="18"/>
      </w:rPr>
      <w:t xml:space="preserve"> digital 1-ro, </w:t>
    </w:r>
    <w:proofErr w:type="spellStart"/>
    <w:r w:rsidRPr="005102FD">
      <w:rPr>
        <w:rFonts w:ascii="Arial" w:hAnsi="Arial" w:cs="Arial"/>
        <w:color w:val="A6A6A6"/>
        <w:sz w:val="18"/>
      </w:rPr>
      <w:t>Geumcheon-gu</w:t>
    </w:r>
    <w:proofErr w:type="spellEnd"/>
    <w:r w:rsidRPr="005102FD">
      <w:rPr>
        <w:rFonts w:ascii="Arial" w:hAnsi="Arial" w:cs="Arial"/>
        <w:color w:val="A6A6A6"/>
        <w:sz w:val="18"/>
      </w:rPr>
      <w:t>, Seoul, Republic of Korea</w:t>
    </w:r>
  </w:p>
  <w:p w:rsidR="005102FD" w:rsidRDefault="005102FD" w:rsidP="005102FD">
    <w:pPr>
      <w:spacing w:after="0" w:line="240" w:lineRule="auto"/>
      <w:rPr>
        <w:rFonts w:ascii="Arial" w:hAnsi="Arial" w:cs="Arial"/>
        <w:color w:val="A6A6A6"/>
        <w:sz w:val="18"/>
      </w:rPr>
    </w:pPr>
    <w:r w:rsidRPr="005102FD">
      <w:rPr>
        <w:rFonts w:ascii="Arial" w:hAnsi="Arial" w:cs="Arial"/>
        <w:color w:val="A6A6A6"/>
        <w:sz w:val="18"/>
      </w:rPr>
      <w:t xml:space="preserve">R&amp;D center: #1101, 1105A, 25, </w:t>
    </w:r>
    <w:proofErr w:type="spellStart"/>
    <w:r w:rsidRPr="005102FD">
      <w:rPr>
        <w:rFonts w:ascii="Arial" w:hAnsi="Arial" w:cs="Arial"/>
        <w:color w:val="A6A6A6"/>
        <w:sz w:val="18"/>
      </w:rPr>
      <w:t>Gasan</w:t>
    </w:r>
    <w:proofErr w:type="spellEnd"/>
    <w:r w:rsidRPr="005102FD">
      <w:rPr>
        <w:rFonts w:ascii="Arial" w:hAnsi="Arial" w:cs="Arial"/>
        <w:color w:val="A6A6A6"/>
        <w:sz w:val="18"/>
      </w:rPr>
      <w:t xml:space="preserve"> digital 1-ro, </w:t>
    </w:r>
    <w:proofErr w:type="spellStart"/>
    <w:r w:rsidRPr="005102FD">
      <w:rPr>
        <w:rFonts w:ascii="Arial" w:hAnsi="Arial" w:cs="Arial"/>
        <w:color w:val="A6A6A6"/>
        <w:sz w:val="18"/>
      </w:rPr>
      <w:t>Geumcheon-gu</w:t>
    </w:r>
    <w:proofErr w:type="spellEnd"/>
    <w:r w:rsidRPr="005102FD">
      <w:rPr>
        <w:rFonts w:ascii="Arial" w:hAnsi="Arial" w:cs="Arial"/>
        <w:color w:val="A6A6A6"/>
        <w:sz w:val="18"/>
      </w:rPr>
      <w:t>, Seoul, Republic of Korea</w:t>
    </w:r>
  </w:p>
  <w:p w:rsidR="00B41517" w:rsidRDefault="009D7E00" w:rsidP="005102FD">
    <w:pPr>
      <w:spacing w:after="0" w:line="240" w:lineRule="auto"/>
      <w:rPr>
        <w:rFonts w:ascii="Arial" w:hAnsi="Arial" w:cs="Arial"/>
        <w:color w:val="A6A6A6"/>
      </w:rPr>
    </w:pPr>
    <w:r>
      <w:rPr>
        <w:rFonts w:ascii="Arial" w:hAnsi="Arial" w:cs="Arial"/>
        <w:color w:val="A6A6A6"/>
      </w:rPr>
      <w:t>TEL. 82-2-</w:t>
    </w:r>
    <w:r w:rsidR="005102FD">
      <w:rPr>
        <w:rFonts w:ascii="Arial" w:hAnsi="Arial" w:cs="Arial"/>
        <w:color w:val="A6A6A6"/>
      </w:rPr>
      <w:t>3402-7495</w:t>
    </w:r>
  </w:p>
  <w:p w:rsidR="005102FD" w:rsidRDefault="005102FD" w:rsidP="005102FD">
    <w:pPr>
      <w:spacing w:after="0" w:line="240" w:lineRule="auto"/>
      <w:rPr>
        <w:rFonts w:ascii="Arial" w:hAnsi="Arial" w:cs="Arial"/>
        <w:color w:val="A6A6A6"/>
      </w:rPr>
    </w:pPr>
    <w:r>
      <w:rPr>
        <w:rFonts w:ascii="Arial" w:hAnsi="Arial" w:cs="Arial" w:hint="eastAsia"/>
        <w:color w:val="A6A6A6"/>
      </w:rPr>
      <w:t>F</w:t>
    </w:r>
    <w:r>
      <w:rPr>
        <w:rFonts w:ascii="Arial" w:hAnsi="Arial" w:cs="Arial"/>
        <w:color w:val="A6A6A6"/>
      </w:rPr>
      <w:t>AX. 82-504-279-3586</w:t>
    </w:r>
  </w:p>
  <w:p w:rsidR="00B41517" w:rsidRDefault="009D7E00">
    <w:pPr>
      <w:spacing w:after="0" w:line="240" w:lineRule="auto"/>
      <w:rPr>
        <w:rFonts w:ascii="Arial" w:hAnsi="Arial" w:cs="Arial"/>
        <w:color w:val="A6A6A6"/>
      </w:rPr>
    </w:pPr>
    <w:r>
      <w:rPr>
        <w:rFonts w:ascii="Arial" w:hAnsi="Arial" w:cs="Arial"/>
        <w:noProof/>
        <w:color w:val="FFFFFF"/>
      </w:rPr>
      <mc:AlternateContent>
        <mc:Choice Requires="wps">
          <w:drawing>
            <wp:anchor distT="0" distB="0" distL="114300" distR="114300" simplePos="0" relativeHeight="251659264" behindDoc="0" locked="0" layoutInCell="1" hidden="0" allowOverlap="1">
              <wp:simplePos x="0" y="0"/>
              <wp:positionH relativeFrom="column">
                <wp:posOffset>5786</wp:posOffset>
              </wp:positionH>
              <wp:positionV relativeFrom="paragraph">
                <wp:posOffset>142843</wp:posOffset>
              </wp:positionV>
              <wp:extent cx="5741043" cy="28937"/>
              <wp:effectExtent l="3175" t="3175" r="3175" b="3175"/>
              <wp:wrapNone/>
              <wp:docPr id="2049" name="shape2049"/>
              <wp:cNvGraphicFramePr/>
              <a:graphic xmlns:a="http://schemas.openxmlformats.org/drawingml/2006/main">
                <a:graphicData uri="http://schemas.microsoft.com/office/word/2010/wordprocessingShape">
                  <wps:wsp>
                    <wps:cNvCnPr/>
                    <wps:spPr>
                      <a:xfrm flipV="1">
                        <a:off x="0" y="0"/>
                        <a:ext cx="5741043" cy="28937"/>
                      </a:xfrm>
                      <a:prstGeom prst="line">
                        <a:avLst/>
                      </a:prstGeom>
                      <a:ln>
                        <a:solidFill>
                          <a:schemeClr val="dk1"/>
                        </a:solidFill>
                      </a:ln>
                    </wps:spPr>
                    <wps:style>
                      <a:lnRef idx="1">
                        <a:schemeClr val="accent1"/>
                      </a:lnRef>
                      <a:fillRef idx="0">
                        <a:schemeClr val="accent1"/>
                      </a:fillRef>
                      <a:effectRef idx="0">
                        <a:schemeClr val="accent1"/>
                      </a:effectRef>
                      <a:fontRef idx="minor">
                        <a:schemeClr val="dk1"/>
                      </a:fontRef>
                    </wps:style>
                    <wps:bodyPr/>
                  </wps:wsp>
                </a:graphicData>
              </a:graphic>
            </wp:anchor>
          </w:drawing>
        </mc:Choice>
        <mc:Fallback>
          <w:pict>
            <v:line id="line 2" style="position:absolute;margin-left:0.455591pt;margin-top:11.2475pt;width:452.051pt;height:2.2785pt;mso-position-horizontal-relative:column;mso-position-vertical-relative:line;v-text-anchor:top;mso-wrap-style:square;flip:y;z-index:251659264" o:allowincell="t" filled="f" stroked="t" strokecolor="#0" strokeweight="0.75pt">
              <v:stroke joinstyle="round"/>
            </v:line>
          </w:pict>
        </mc:Fallback>
      </mc:AlternateContent>
    </w:r>
    <w:r>
      <w:rPr>
        <w:rFonts w:ascii="Arial" w:hAnsi="Arial" w:cs="Arial"/>
        <w:color w:val="A6A6A6"/>
      </w:rPr>
      <w:t xml:space="preserve">E-mail. </w:t>
    </w:r>
    <w:r w:rsidR="00E40A27">
      <w:rPr>
        <w:rFonts w:ascii="Arial" w:hAnsi="Arial" w:cs="Arial"/>
        <w:color w:val="A6A6A6"/>
      </w:rPr>
      <w:t>s</w:t>
    </w:r>
    <w:r w:rsidR="005102FD">
      <w:rPr>
        <w:rFonts w:ascii="Arial" w:hAnsi="Arial" w:cs="Arial"/>
        <w:color w:val="A6A6A6"/>
      </w:rPr>
      <w:t>sm714@naver.com</w:t>
    </w:r>
  </w:p>
  <w:p w:rsidR="00B41517" w:rsidRDefault="00B41517">
    <w:pPr>
      <w:pStyle w:val="a3"/>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517"/>
    <w:rsid w:val="000E3438"/>
    <w:rsid w:val="00121B87"/>
    <w:rsid w:val="002D47B9"/>
    <w:rsid w:val="003570B7"/>
    <w:rsid w:val="003930D3"/>
    <w:rsid w:val="005102FD"/>
    <w:rsid w:val="006209EF"/>
    <w:rsid w:val="00796644"/>
    <w:rsid w:val="00796FB3"/>
    <w:rsid w:val="008C5BC4"/>
    <w:rsid w:val="00957DE7"/>
    <w:rsid w:val="0097786E"/>
    <w:rsid w:val="009A56D3"/>
    <w:rsid w:val="009D7E00"/>
    <w:rsid w:val="00A17BE1"/>
    <w:rsid w:val="00A4154D"/>
    <w:rsid w:val="00A667CF"/>
    <w:rsid w:val="00B05E6C"/>
    <w:rsid w:val="00B26E8D"/>
    <w:rsid w:val="00B41517"/>
    <w:rsid w:val="00CC5AFA"/>
    <w:rsid w:val="00D504C1"/>
    <w:rsid w:val="00D509E0"/>
    <w:rsid w:val="00DC195F"/>
    <w:rsid w:val="00DD2087"/>
    <w:rsid w:val="00E00A7A"/>
    <w:rsid w:val="00E40A27"/>
    <w:rsid w:val="00F203D3"/>
    <w:rsid w:val="00F72EC2"/>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4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4"/>
    <w:uiPriority w:val="99"/>
  </w:style>
  <w:style w:type="table" w:styleId="a5">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07163">
      <w:bodyDiv w:val="1"/>
      <w:marLeft w:val="0"/>
      <w:marRight w:val="0"/>
      <w:marTop w:val="0"/>
      <w:marBottom w:val="0"/>
      <w:divBdr>
        <w:top w:val="none" w:sz="0" w:space="0" w:color="auto"/>
        <w:left w:val="none" w:sz="0" w:space="0" w:color="auto"/>
        <w:bottom w:val="none" w:sz="0" w:space="0" w:color="auto"/>
        <w:right w:val="none" w:sz="0" w:space="0" w:color="auto"/>
      </w:divBdr>
    </w:div>
    <w:div w:id="291864359">
      <w:bodyDiv w:val="1"/>
      <w:marLeft w:val="0"/>
      <w:marRight w:val="0"/>
      <w:marTop w:val="0"/>
      <w:marBottom w:val="0"/>
      <w:divBdr>
        <w:top w:val="none" w:sz="0" w:space="0" w:color="auto"/>
        <w:left w:val="none" w:sz="0" w:space="0" w:color="auto"/>
        <w:bottom w:val="none" w:sz="0" w:space="0" w:color="auto"/>
        <w:right w:val="none" w:sz="0" w:space="0" w:color="auto"/>
      </w:divBdr>
    </w:div>
    <w:div w:id="4441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1580</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2020-03-31T01:52:00Z</cp:lastPrinted>
  <dcterms:created xsi:type="dcterms:W3CDTF">2026-05-07T22:12:00Z</dcterms:created>
  <dcterms:modified xsi:type="dcterms:W3CDTF">2026-05-16T05:12:00Z</dcterms:modified>
  <cp:version>1000.0100.01</cp:version>
</cp:coreProperties>
</file>